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5D9" w:rsidRPr="00F8267B" w:rsidRDefault="008555D9" w:rsidP="00F8267B">
      <w:pPr>
        <w:spacing w:line="360" w:lineRule="auto"/>
        <w:jc w:val="center"/>
        <w:rPr>
          <w:rFonts w:ascii="Verdana" w:hAnsi="Verdana"/>
          <w:b/>
          <w:sz w:val="28"/>
          <w:szCs w:val="28"/>
        </w:rPr>
      </w:pPr>
      <w:r w:rsidRPr="00F8267B">
        <w:rPr>
          <w:rFonts w:ascii="Verdana" w:hAnsi="Verdana"/>
          <w:b/>
          <w:sz w:val="28"/>
          <w:szCs w:val="28"/>
        </w:rPr>
        <w:t>Животнов</w:t>
      </w:r>
      <w:r w:rsidR="00F8267B" w:rsidRPr="00F8267B">
        <w:rPr>
          <w:rFonts w:ascii="Verdana" w:hAnsi="Verdana"/>
          <w:b/>
          <w:sz w:val="28"/>
          <w:szCs w:val="28"/>
        </w:rPr>
        <w:t>одство и рыбное хозяйство Мира</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 xml:space="preserve"> </w:t>
      </w:r>
      <w:r w:rsidRPr="008555D9">
        <w:rPr>
          <w:rFonts w:ascii="Verdana" w:hAnsi="Verdana"/>
          <w:sz w:val="28"/>
          <w:szCs w:val="28"/>
        </w:rPr>
        <w:tab/>
      </w:r>
      <w:r w:rsidRPr="008555D9">
        <w:rPr>
          <w:rFonts w:ascii="Verdana" w:hAnsi="Verdana"/>
          <w:sz w:val="28"/>
          <w:szCs w:val="28"/>
        </w:rPr>
        <w:tab/>
        <w:t xml:space="preserve"> Животноводство, преимущественно мясного направления, дает около 2/5 продукции сельского хозяйства страны. В 1987 г. поголовье крупного рогатого скота составило 133 млн голов, свиней — 32 млн, овец— 19,2 млн, коз — 10,6 млн, лошадей—5,2 млн, домашней птицы — 520 млн. Животноводство развито главным образом на Юге, где находятся прекрасные естественные пастбища (особенно в южной степной части штата Риу-Гранди-ду-Сул), а также в саваннах и «кампосах» Бразильского плоскогорья и в откормочных хозяйствах Юга и Юго-Востока. Часть продукции животноводства (мясо, шкуры, кожи, шерсть) экспортируется. Растет значение животноводства и в заново осваиваемых районах, главным образом в Амазонии, где иностранные компании создают огромные скотоводческие хозяйства.</w:t>
      </w:r>
    </w:p>
    <w:p w:rsidR="008555D9" w:rsidRPr="008555D9" w:rsidRDefault="008555D9" w:rsidP="008555D9">
      <w:pPr>
        <w:spacing w:line="360" w:lineRule="auto"/>
        <w:rPr>
          <w:rFonts w:ascii="Verdana" w:hAnsi="Verdana"/>
          <w:sz w:val="28"/>
          <w:szCs w:val="28"/>
        </w:rPr>
      </w:pP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 xml:space="preserve">Под лесами занято 3/5 территории Бразилии. Ей принадлежит первое место в мире по запасам древесины ценных пород. Используются лесные богатства страны пока еще слабо. На Юге ведется заготовка древесины хвойных деревьев (в основном араукарии). В 1983 г. было заготовлено 158 млн куб. м круглого леса. Сбор латекса дикорастущих каучуконосов в лесах Амазонии составляет 30—50 тыс. т в год. Большое значение имеет также сбор бразильского ореха, карнаубского воска, плодов пальмы баба-су и масличного дерева ойтисики на Северо-Востоке, «парагвайского чая» </w:t>
      </w:r>
      <w:r w:rsidRPr="008555D9">
        <w:rPr>
          <w:rFonts w:ascii="Verdana" w:hAnsi="Verdana"/>
          <w:sz w:val="28"/>
          <w:szCs w:val="28"/>
        </w:rPr>
        <w:lastRenderedPageBreak/>
        <w:t>(матэ) — на Юге. Значительная часть продукции лесного хозяйства экспортируется.</w:t>
      </w:r>
    </w:p>
    <w:p w:rsidR="008555D9" w:rsidRPr="008555D9" w:rsidRDefault="008555D9" w:rsidP="008555D9">
      <w:pPr>
        <w:spacing w:line="360" w:lineRule="auto"/>
        <w:rPr>
          <w:rFonts w:ascii="Verdana" w:hAnsi="Verdana"/>
          <w:sz w:val="28"/>
          <w:szCs w:val="28"/>
        </w:rPr>
      </w:pPr>
    </w:p>
    <w:p w:rsidR="0010603E" w:rsidRPr="008555D9" w:rsidRDefault="008555D9" w:rsidP="008555D9">
      <w:pPr>
        <w:spacing w:line="360" w:lineRule="auto"/>
        <w:rPr>
          <w:rFonts w:ascii="Verdana" w:hAnsi="Verdana"/>
          <w:sz w:val="28"/>
          <w:szCs w:val="28"/>
        </w:rPr>
      </w:pPr>
      <w:r w:rsidRPr="008555D9">
        <w:rPr>
          <w:rFonts w:ascii="Verdana" w:hAnsi="Verdana"/>
          <w:sz w:val="28"/>
          <w:szCs w:val="28"/>
        </w:rPr>
        <w:t>Улов рыбы и морепродуктов составил в 1985 г. 972 тыс. т. Лангусты, другие ракообразные и моллюски составляют обычно 8—10% общего улова. Лангусты экспортируются. Основные районы рыболовного промысла — прибрежные воды штатов Рио-де-Жанейро, Риу-Гранди-ду-Сул и Санта-Катарина. В 1971 г. Бразилия объявила об установлении 200-мильной пограничной рыболовной зоны.</w:t>
      </w:r>
    </w:p>
    <w:p w:rsidR="008555D9" w:rsidRPr="008555D9" w:rsidRDefault="008555D9" w:rsidP="008555D9">
      <w:pPr>
        <w:spacing w:line="360" w:lineRule="auto"/>
        <w:rPr>
          <w:rFonts w:ascii="Verdana" w:hAnsi="Verdana"/>
          <w:sz w:val="28"/>
          <w:szCs w:val="28"/>
        </w:rPr>
      </w:pP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Рыбообрабатывающее оборудование и технологии по переработке рыбы и морепродуктов</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Ингредиенты и пищевые добавки для рыбной продукции</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Тара и упаковочное оборудование</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Холодильное и складское оборудование</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Морская и речная рыба, крабы, креветки, моллюски, водоросли, продукция из рыбы и морепродуктов</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Флот рыбной промышленности, судоремонт</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Оборудование для добычи рыбы и морепродуктов</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Судовая радиоэлектроника</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Рыболовные сетеснастные материалы и оборудование для их производства</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lastRenderedPageBreak/>
        <w:t>Подготовка кадров для рыбной промышленности</w:t>
      </w:r>
    </w:p>
    <w:p w:rsidR="008555D9" w:rsidRPr="008555D9" w:rsidRDefault="008555D9" w:rsidP="008555D9">
      <w:pPr>
        <w:spacing w:line="360" w:lineRule="auto"/>
        <w:rPr>
          <w:rFonts w:ascii="Verdana" w:hAnsi="Verdana"/>
          <w:sz w:val="28"/>
          <w:szCs w:val="28"/>
        </w:rPr>
      </w:pP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Первая международная выставка Рыбное хозяйство Туркменистана прошла в сентябре 2008 года.</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В течение последних 2 лет этой перспективной отрасли уделяется особое внимание. Рыбное хозяйство Туркменистана переживает период обновления и модернизации, создается современная инфраструктура рыбной промышленности - строятся новые и модернизируются действующие предприятия. Заинтересованность хозяев нашла реальный оклик в предложениях участников выставки, собравшей гостей из 16 стран, в том числе России, Великобритании, Германии, Италии, Японии, Китая, Турции, ОАЭ.</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В их числе - такие известные многопрофильные компании, как «Macalister Elliot &amp; Partners» и «KINESIS Energi Limited» (Великобритания), «FISCHTECHNIK GERMANI» (Германия), «Deijing huayou хinye materials co. Ltd.» (Китай), «European Technology Development» (Италия). Россию на форуме представляют «Астраханская судостроительная верфь», ООО «Ленмонтаж», ОАО «Гран». Большой интерес к выставке в Туркменистане проявили также представители скандинавских стран, располагающих солидным опытом в сфере развития морских рыбных промыслов.</w:t>
      </w:r>
    </w:p>
    <w:p w:rsidR="008555D9" w:rsidRPr="008555D9" w:rsidRDefault="008555D9" w:rsidP="008555D9">
      <w:pPr>
        <w:spacing w:line="360" w:lineRule="auto"/>
        <w:rPr>
          <w:rFonts w:ascii="Verdana" w:hAnsi="Verdana"/>
          <w:sz w:val="28"/>
          <w:szCs w:val="28"/>
        </w:rPr>
      </w:pP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 xml:space="preserve">Зарубежные компании экспонировали новую технику и передовые производственные технологии, сетеснастные </w:t>
      </w:r>
      <w:r w:rsidRPr="008555D9">
        <w:rPr>
          <w:rFonts w:ascii="Verdana" w:hAnsi="Verdana"/>
          <w:sz w:val="28"/>
          <w:szCs w:val="28"/>
        </w:rPr>
        <w:lastRenderedPageBreak/>
        <w:t>материалы, спецодежду для рыбаков, грузовые автомобили-цистерны для перевозки живой рыбы, рефрижераторы и другие спецмашины, малые плавательные средства (марки «Казанка» с моторами «Yamaha», и вельботы).</w:t>
      </w:r>
    </w:p>
    <w:p w:rsidR="008555D9" w:rsidRPr="008555D9" w:rsidRDefault="008555D9" w:rsidP="008555D9">
      <w:pPr>
        <w:spacing w:line="360" w:lineRule="auto"/>
        <w:rPr>
          <w:rFonts w:ascii="Verdana" w:hAnsi="Verdana"/>
          <w:sz w:val="28"/>
          <w:szCs w:val="28"/>
        </w:rPr>
      </w:pP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Свою экспозицию на выставке развернуло Государственное предприятие «Балканбалык», которое производит добычу рыбы в Каспийском море и занимается переработкой продуктов промысла. Этот раздел знакомит с морским рыбопромысловым флотом и перерабатывающей инфраструктурой «Балканбалык», а также с широким ассортиментом выпускаемой им продукции. Это свежая, мороженая, копченая, вяленая, консервированная рыба. Помимо этого, предприятие производит кормовую рыбную муку для нужд птицеводства и животноводства.</w:t>
      </w:r>
    </w:p>
    <w:p w:rsidR="008555D9" w:rsidRPr="008555D9" w:rsidRDefault="008555D9" w:rsidP="008555D9">
      <w:pPr>
        <w:spacing w:line="360" w:lineRule="auto"/>
        <w:rPr>
          <w:rFonts w:ascii="Verdana" w:hAnsi="Verdana"/>
          <w:sz w:val="28"/>
          <w:szCs w:val="28"/>
        </w:rPr>
      </w:pP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 xml:space="preserve">Туркменские специалисты проявили большой интерес к павильону Государственного научно-исследовательского института озерного и речного рыбного хозяйства (Санкт-Петербург, Россия), который занимается разработкой технологий по производству морепродуктов. Спрос на эту деликатесную продукцию, богатую микроэлементами и белком, в мире традиционно высок, и в ближайшие годы современные биотехнологии позволят выращивать на морских фермах в Туркменистане креветки и мидии. </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lastRenderedPageBreak/>
        <w:t>Развитие аквакультуры (разведение и выращивание водных организмов - рыбы, моллюсков, ракообразных, водорослей в контролируемых условиях для повышения продуктивности водоемов) в различных регионах страны является одним из основных направлений деятельности Госкомитета по рыбному хозяйству Туркменистана. Специальный раздел выставки посвящен прудовым хозяйствам, в которых отработаны эффективные методики выращивания молоди карпа, толстолобика, белого амура.</w:t>
      </w:r>
    </w:p>
    <w:p w:rsidR="008555D9" w:rsidRPr="008555D9" w:rsidRDefault="008555D9" w:rsidP="008555D9">
      <w:pPr>
        <w:spacing w:line="360" w:lineRule="auto"/>
        <w:rPr>
          <w:rFonts w:ascii="Verdana" w:hAnsi="Verdana"/>
          <w:sz w:val="28"/>
          <w:szCs w:val="28"/>
        </w:rPr>
      </w:pP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Свои павильоны развернули организации и учреждения, деятельность которых тесным образом связана с рыбной отраслью. Среди них - НПЦ «Экология» Министерства водного хозяйства Туркменистана, Министерство охраны природы, Туркменский Союз обществ охотников и рыболовов.</w:t>
      </w:r>
    </w:p>
    <w:p w:rsidR="008555D9" w:rsidRPr="008555D9" w:rsidRDefault="008555D9" w:rsidP="008555D9">
      <w:pPr>
        <w:spacing w:line="360" w:lineRule="auto"/>
        <w:rPr>
          <w:rFonts w:ascii="Verdana" w:hAnsi="Verdana"/>
          <w:sz w:val="28"/>
          <w:szCs w:val="28"/>
        </w:rPr>
      </w:pPr>
      <w:r w:rsidRPr="008555D9">
        <w:rPr>
          <w:rFonts w:ascii="Verdana" w:hAnsi="Verdana"/>
          <w:sz w:val="28"/>
          <w:szCs w:val="28"/>
        </w:rPr>
        <w:t>В работе конференции «Перспективы развития рыбного хозяйства Туркменистана и международное сотрудничество» в последний день выставки приняли участие ученые из 10 стран, в том числе прикаспийских, а также Германии, Турции, Латвии, Объединенных Арабских Эмиратов. В столицу прибыли известные ученые, видные специалисты в области ихтиологии и рыбного хозяйства. Туркменская сторона была представлена работниками отраслевой науки, Госрыбоохраны Туркменистана, НПЦ «Экология» Министерства водного хозяйства Туркменистана, а также нефтегазового комплекса Туркменистана, чьи подразделения ведут разработки в акватории Каспия.</w:t>
      </w:r>
    </w:p>
    <w:sectPr w:rsidR="008555D9" w:rsidRPr="008555D9" w:rsidSect="00452FBA">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7EB" w:rsidRDefault="000B57EB" w:rsidP="00452FBA">
      <w:pPr>
        <w:spacing w:after="0" w:line="240" w:lineRule="auto"/>
      </w:pPr>
      <w:r>
        <w:separator/>
      </w:r>
    </w:p>
  </w:endnote>
  <w:endnote w:type="continuationSeparator" w:id="1">
    <w:p w:rsidR="000B57EB" w:rsidRDefault="000B57EB" w:rsidP="00452F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FBA" w:rsidRDefault="00452FB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FBA" w:rsidRDefault="00452FBA" w:rsidP="00452FBA">
    <w:pPr>
      <w:pStyle w:val="a5"/>
      <w:rPr>
        <w:sz w:val="16"/>
        <w:szCs w:val="16"/>
      </w:rPr>
    </w:pPr>
    <w:r>
      <w:rPr>
        <w:sz w:val="16"/>
        <w:szCs w:val="16"/>
      </w:rPr>
      <w:t>www.UzReferat.ucoz.net</w:t>
    </w:r>
  </w:p>
  <w:p w:rsidR="00452FBA" w:rsidRDefault="00452FBA">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FBA" w:rsidRDefault="00452FB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7EB" w:rsidRDefault="000B57EB" w:rsidP="00452FBA">
      <w:pPr>
        <w:spacing w:after="0" w:line="240" w:lineRule="auto"/>
      </w:pPr>
      <w:r>
        <w:separator/>
      </w:r>
    </w:p>
  </w:footnote>
  <w:footnote w:type="continuationSeparator" w:id="1">
    <w:p w:rsidR="000B57EB" w:rsidRDefault="000B57EB" w:rsidP="00452F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FBA" w:rsidRDefault="00452FB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FBA" w:rsidRDefault="00452FB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FBA" w:rsidRDefault="00452FB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8555D9"/>
    <w:rsid w:val="000B57EB"/>
    <w:rsid w:val="0010603E"/>
    <w:rsid w:val="00452FBA"/>
    <w:rsid w:val="008555D9"/>
    <w:rsid w:val="00A327B6"/>
    <w:rsid w:val="00A667B9"/>
    <w:rsid w:val="00F47EB9"/>
    <w:rsid w:val="00F826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52FB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52FBA"/>
  </w:style>
  <w:style w:type="paragraph" w:styleId="a5">
    <w:name w:val="footer"/>
    <w:basedOn w:val="a"/>
    <w:link w:val="a6"/>
    <w:uiPriority w:val="99"/>
    <w:semiHidden/>
    <w:unhideWhenUsed/>
    <w:rsid w:val="00452FBA"/>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52FBA"/>
  </w:style>
</w:styles>
</file>

<file path=word/webSettings.xml><?xml version="1.0" encoding="utf-8"?>
<w:webSettings xmlns:r="http://schemas.openxmlformats.org/officeDocument/2006/relationships" xmlns:w="http://schemas.openxmlformats.org/wordprocessingml/2006/main">
  <w:divs>
    <w:div w:id="131826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898</Words>
  <Characters>5121</Characters>
  <Application>Microsoft Office Word</Application>
  <DocSecurity>0</DocSecurity>
  <Lines>42</Lines>
  <Paragraphs>12</Paragraphs>
  <ScaleCrop>false</ScaleCrop>
  <Company>Reanimator Extreme Edition</Company>
  <LinksUpToDate>false</LinksUpToDate>
  <CharactersWithSpaces>6007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4</cp:revision>
  <cp:lastPrinted>2009-12-16T14:36:00Z</cp:lastPrinted>
  <dcterms:created xsi:type="dcterms:W3CDTF">2009-12-16T09:21:00Z</dcterms:created>
  <dcterms:modified xsi:type="dcterms:W3CDTF">2011-04-18T14:05:00Z</dcterms:modified>
</cp:coreProperties>
</file>